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59C8D426" w:rsidR="00206C9A" w:rsidRPr="00C56617" w:rsidRDefault="00147BCB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3.4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568679C0" w:rsidR="00206C9A" w:rsidRPr="00C56617" w:rsidRDefault="00147BCB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4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Waga cyfrowa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1"/>
        <w:gridCol w:w="1701"/>
        <w:gridCol w:w="2977"/>
      </w:tblGrid>
      <w:tr w:rsidR="00147BCB" w:rsidRPr="00FC49E9" w14:paraId="69CBDBF2" w14:textId="77777777" w:rsidTr="00147BCB">
        <w:trPr>
          <w:trHeight w:val="340"/>
          <w:tblHeader/>
        </w:trPr>
        <w:tc>
          <w:tcPr>
            <w:tcW w:w="567" w:type="dxa"/>
            <w:shd w:val="clear" w:color="auto" w:fill="auto"/>
            <w:vAlign w:val="center"/>
          </w:tcPr>
          <w:p w14:paraId="6DDE62D8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0782EB0A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Parametry wymagane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FEEC3F" w14:textId="77777777" w:rsid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 xml:space="preserve">Wartość </w:t>
            </w:r>
          </w:p>
          <w:p w14:paraId="447F87C5" w14:textId="32B9F7AB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wymagana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615AC9" w14:textId="77777777" w:rsidR="00147BCB" w:rsidRPr="009A2D33" w:rsidRDefault="00147BCB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Oferowane</w:t>
            </w:r>
          </w:p>
          <w:p w14:paraId="6B885FB0" w14:textId="10E4CFA7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9A2D33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(należy potwierdzić spełnianie wymagań poprzez „TAK” lub tam gdzie to wymagane podać posiadane parametry)</w:t>
            </w:r>
          </w:p>
        </w:tc>
      </w:tr>
      <w:tr w:rsidR="00147BCB" w:rsidRPr="00147BCB" w14:paraId="3F12A282" w14:textId="77777777" w:rsidTr="00147BCB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4CC1BA3D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Informacje ogólne</w:t>
            </w:r>
          </w:p>
        </w:tc>
      </w:tr>
      <w:tr w:rsidR="00147BCB" w:rsidRPr="00147BCB" w14:paraId="1DF5D30C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F121BA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5A7C7DE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Producent/kraj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AB6DAE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B9BAAD6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20756C52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AE3E36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9958911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Model/Typ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B816EF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54ACC8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37E8E958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C93C56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A1C9212" w14:textId="235F193D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 xml:space="preserve">Urządzenie fabrycznie nowe (rok </w:t>
            </w:r>
            <w:r w:rsidRPr="00292D21">
              <w:rPr>
                <w:rFonts w:ascii="Calibri" w:hAnsi="Calibri" w:cs="Calibri"/>
                <w:lang w:val="pl-PL"/>
              </w:rPr>
              <w:t>produkcji nie wcześniej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  <w:r w:rsidRPr="00147BCB">
              <w:rPr>
                <w:rFonts w:ascii="Calibri" w:hAnsi="Calibri" w:cs="Calibri"/>
                <w:lang w:val="pl-PL"/>
              </w:rPr>
              <w:t>niż 2025), kompletne i gotowe do użycia – bez dodatkowych nakładów finansowych ze strony Zamawiającego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1CACC8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1D523F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FC49E9" w14:paraId="13FF9F6E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4CA01E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7A637" w14:textId="77777777" w:rsidR="00147BCB" w:rsidRPr="00147BCB" w:rsidRDefault="00147BCB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47BC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08DFB" w14:textId="77777777" w:rsidR="00147BCB" w:rsidRPr="00292D21" w:rsidRDefault="00147BCB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7373B5B7" w14:textId="64A63F01" w:rsidR="00147BCB" w:rsidRPr="00292D21" w:rsidRDefault="00147BCB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 opisane w rozdziale VII ust. 1 pkt. 3) SWZ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0F1E06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583353DE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093EADE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5A6316C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Waga posiada deklarację zgodności lub zatwierdzenie typu, co umożliwia wykonanie legalizacji ponownej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C2CFDA" w14:textId="77777777" w:rsidR="00147BCB" w:rsidRPr="00292D21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292D21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ACD34F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FC49E9" w14:paraId="67668958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254124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0E595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eastAsia="Times New Roman" w:hAnsi="Calibri" w:cs="Calibri"/>
                <w:lang w:eastAsia="pl-PL"/>
              </w:rPr>
              <w:t xml:space="preserve">Urządzenie zgodne z Dyrektywą </w:t>
            </w:r>
            <w:proofErr w:type="spellStart"/>
            <w:r w:rsidRPr="00147BCB">
              <w:rPr>
                <w:rFonts w:ascii="Calibri" w:eastAsia="Times New Roman" w:hAnsi="Calibri" w:cs="Calibri"/>
                <w:lang w:eastAsia="pl-PL"/>
              </w:rPr>
              <w:t>RoHS</w:t>
            </w:r>
            <w:proofErr w:type="spellEnd"/>
            <w:r w:rsidRPr="00147BCB">
              <w:rPr>
                <w:rFonts w:ascii="Calibri" w:eastAsia="Times New Roman" w:hAnsi="Calibri" w:cs="Calibri"/>
                <w:lang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4675D" w14:textId="22F75B1F" w:rsidR="00147BCB" w:rsidRPr="00292D21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292D21">
              <w:rPr>
                <w:rFonts w:ascii="Calibri" w:eastAsia="Times New Roman" w:hAnsi="Calibri" w:cs="Calibri"/>
                <w:lang w:eastAsia="pl-PL"/>
              </w:rPr>
              <w:t>TAK, załączyć dokumenty potwierdzające opisane w rozdziale VII ust. 1 pkt. 3) SWZ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EE1348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FC49E9" w14:paraId="272EBE48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3AFED27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D87E" w14:textId="61CEE176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eastAsia="Times New Roman" w:hAnsi="Calibri" w:cs="Calibri"/>
                <w:lang w:eastAsia="pl-PL"/>
              </w:rPr>
              <w:t xml:space="preserve">Producent </w:t>
            </w:r>
            <w:r w:rsidRPr="00292D21">
              <w:rPr>
                <w:rFonts w:ascii="Calibri" w:eastAsia="Times New Roman" w:hAnsi="Calibri" w:cs="Calibri"/>
                <w:lang w:eastAsia="pl-PL"/>
              </w:rPr>
              <w:t>urządzenia spełnia normę środowiskową PN-EN ISO 14001 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3461F" w14:textId="77777777" w:rsidR="00147BCB" w:rsidRPr="00292D21" w:rsidRDefault="00147BCB" w:rsidP="00626066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30F37FF7" w14:textId="77777777" w:rsidR="00147BCB" w:rsidRPr="00292D21" w:rsidRDefault="00147BCB" w:rsidP="0062606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0880F064" w14:textId="77777777" w:rsidR="00147BCB" w:rsidRPr="00292D21" w:rsidRDefault="00147BCB" w:rsidP="0062606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694A9EC2" w14:textId="6EB978E7" w:rsidR="00626066" w:rsidRPr="00292D21" w:rsidRDefault="00147BCB" w:rsidP="0062606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5C601C7E" w14:textId="77777777" w:rsidR="00626066" w:rsidRPr="00292D21" w:rsidRDefault="00626066" w:rsidP="00626066">
            <w:pPr>
              <w:pStyle w:val="Zawartotabeli"/>
              <w:snapToGrid w:val="0"/>
              <w:rPr>
                <w:rFonts w:ascii="Calibri" w:eastAsia="Times New Roman" w:hAnsi="Calibri" w:cs="Calibri"/>
                <w:lang w:eastAsia="pl-PL"/>
              </w:rPr>
            </w:pPr>
          </w:p>
          <w:p w14:paraId="49051B89" w14:textId="7C0E711F" w:rsidR="00147BCB" w:rsidRPr="00292D21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292D21">
              <w:rPr>
                <w:rFonts w:ascii="Calibri" w:eastAsia="Times New Roman" w:hAnsi="Calibri" w:cs="Calibri"/>
                <w:lang w:eastAsia="pl-PL"/>
              </w:rPr>
              <w:lastRenderedPageBreak/>
              <w:t>*</w:t>
            </w:r>
            <w:r w:rsidRPr="00292D21">
              <w:t xml:space="preserve"> </w:t>
            </w:r>
            <w:r w:rsidRPr="00292D21">
              <w:rPr>
                <w:rFonts w:ascii="Calibri" w:eastAsia="Times New Roman" w:hAnsi="Calibri" w:cs="Calibri"/>
                <w:lang w:eastAsia="pl-PL"/>
              </w:rPr>
              <w:t>W przypadku odpowiedzi twierdzącej załączyć dokumenty opisane w rozdziale VII ust. 1 pkt 3) SWZ.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FE206C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7E4551BA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468AFA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E62D9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eastAsia="Times New Roman" w:hAnsi="Calibri" w:cs="Calibri"/>
                <w:lang w:eastAsia="pl-PL"/>
              </w:rPr>
              <w:t>Dostępność części zamiennych i serwisu zadeklarowana przez producenta min. 7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E1FBC" w14:textId="77777777" w:rsidR="00147BCB" w:rsidRPr="00292D21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292D21">
              <w:rPr>
                <w:rFonts w:ascii="Calibri" w:eastAsia="Times New Roman" w:hAnsi="Calibri" w:cs="Calibri"/>
                <w:lang w:val="pl-PL" w:eastAsia="pl-PL"/>
              </w:rPr>
              <w:t xml:space="preserve">TAK, </w:t>
            </w:r>
            <w:r w:rsidRPr="00292D2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</w:t>
            </w:r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bookmarkStart w:id="0" w:name="_GoBack"/>
            <w:r w:rsidRPr="00FC49E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lat</w:t>
            </w:r>
            <w:bookmarkEnd w:id="0"/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292D21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72330A5A" w14:textId="285C65AF" w:rsidR="00147BCB" w:rsidRPr="00292D21" w:rsidRDefault="00147BCB" w:rsidP="0062606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2B2111B6" w14:textId="77777777" w:rsidR="00147BCB" w:rsidRPr="00292D21" w:rsidRDefault="00147BCB" w:rsidP="00626066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292D21">
              <w:rPr>
                <w:rFonts w:ascii="Calibri" w:hAnsi="Calibri" w:cs="Calibri"/>
                <w:color w:val="0070C0"/>
                <w:lang w:val="pl-PL"/>
              </w:rPr>
              <w:t>≥ 10 lat – 3 pkt</w:t>
            </w:r>
          </w:p>
          <w:p w14:paraId="2EB14610" w14:textId="77777777" w:rsidR="00147BCB" w:rsidRPr="00292D21" w:rsidRDefault="00147BCB" w:rsidP="00626066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292D21">
              <w:rPr>
                <w:rFonts w:ascii="Calibri" w:hAnsi="Calibri" w:cs="Calibri"/>
                <w:color w:val="0070C0"/>
                <w:lang w:val="pl-PL"/>
              </w:rPr>
              <w:t>8-9 lat – 2 pkt</w:t>
            </w:r>
          </w:p>
          <w:p w14:paraId="61D9B092" w14:textId="77777777" w:rsidR="00147BCB" w:rsidRPr="00292D21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292D21">
              <w:rPr>
                <w:rFonts w:ascii="Calibri" w:hAnsi="Calibri" w:cs="Calibri"/>
                <w:color w:val="0070C0"/>
              </w:rPr>
              <w:t>7 lat – 0 pkt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57CC4B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292D21" w14:paraId="774CBBEF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5D4FC5" w14:textId="77777777" w:rsidR="00147BCB" w:rsidRPr="00147BCB" w:rsidRDefault="00147BCB" w:rsidP="0062606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A1481" w14:textId="77777777" w:rsidR="00147BCB" w:rsidRPr="00147BCB" w:rsidRDefault="00147BCB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47BC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F5D79" w14:textId="59EEEADD" w:rsidR="00147BCB" w:rsidRPr="00292D21" w:rsidRDefault="0044363E" w:rsidP="006260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92D2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 / 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919D50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0ED058E1" w14:textId="77777777" w:rsidTr="00147BCB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55D2B0AA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Parametry podstawowe</w:t>
            </w:r>
          </w:p>
        </w:tc>
      </w:tr>
      <w:tr w:rsidR="00147BCB" w:rsidRPr="00147BCB" w14:paraId="6A981E33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EE7186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860DF3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Waga dwuzakresowa obciążenie min. 200kg</w:t>
            </w:r>
          </w:p>
          <w:p w14:paraId="60D20F2C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Zakres - 1 min 100kg  zakres - 2 min 200kg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CFA66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3F1F15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1F4DBA78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CB85DB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DB2203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 xml:space="preserve">Dokładność odczytu nie więcej niż: </w:t>
            </w:r>
          </w:p>
          <w:p w14:paraId="0BB4A5CF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zakres 1  - 50g</w:t>
            </w:r>
          </w:p>
          <w:p w14:paraId="2C49AC13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zakres 2 - 100g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5B1F62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CFBB35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6B4A2BC1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F75BBF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87732C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Możliwość tarowania, zakres tary min. -150 kg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5A2F15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CD1923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6C02C41D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7D755D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0C3A24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Wyświetlacz LCD z podświetleniem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1F4A40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70448E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5CD387BA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A8625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690BCA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 xml:space="preserve">Waga wyposażona w wzrostomierz, zakres pomiaru wzrostu min. od 100 do 200cm,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F60FC3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C77B58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2BA70F2C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0AE395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C9A305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 xml:space="preserve">Funkcja </w:t>
            </w:r>
            <w:proofErr w:type="spellStart"/>
            <w:r w:rsidRPr="00147BCB">
              <w:rPr>
                <w:rFonts w:ascii="Calibri" w:hAnsi="Calibri" w:cs="Calibri"/>
              </w:rPr>
              <w:t>autozero</w:t>
            </w:r>
            <w:proofErr w:type="spellEnd"/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7FD321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D36A6F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06D56DA7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2FDE593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5D0308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 xml:space="preserve">Funkcja BMI – wyznaczanie współczynnika masy ciała do </w:t>
            </w:r>
            <w:r w:rsidRPr="00147BCB">
              <w:rPr>
                <w:rFonts w:ascii="Calibri" w:hAnsi="Calibri" w:cs="Calibri"/>
              </w:rPr>
              <w:lastRenderedPageBreak/>
              <w:t>wzrostu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4A2074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CBADC0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78DB5474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DC5D69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F85265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Zasilanie sieciowe (zasilacz na wyposażeniu), ponadto możliwość korzystania z zasilania akumulatorowego (baterie/akumulatorki na wyposażeniu)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7DD0F2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C5AF1A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7E5A62D0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43E872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390C17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Platforma pomiarowa antypoślizgowa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91D4C7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9CAB09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263739E5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8DD127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9DAE4C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Gumowe stopki umożliwiające regulację poziomu platformy/wagi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344718" w14:textId="77777777" w:rsidR="00147BCB" w:rsidRPr="00147BCB" w:rsidRDefault="00147BCB" w:rsidP="00626066">
            <w:pPr>
              <w:pStyle w:val="Zawartotabeli"/>
              <w:snapToGrid w:val="0"/>
              <w:rPr>
                <w:rFonts w:ascii="Calibri" w:hAnsi="Calibri" w:cs="Calibri"/>
              </w:rPr>
            </w:pPr>
            <w:r w:rsidRPr="00147BCB">
              <w:rPr>
                <w:rFonts w:ascii="Calibri" w:hAnsi="Calibri" w:cs="Calibri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982102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1C6291DC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FB4DCCF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10349" w:type="dxa"/>
            <w:gridSpan w:val="3"/>
            <w:shd w:val="clear" w:color="auto" w:fill="auto"/>
            <w:vAlign w:val="center"/>
          </w:tcPr>
          <w:p w14:paraId="4887CA24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b/>
                <w:lang w:val="pl-PL"/>
              </w:rPr>
            </w:pPr>
            <w:r w:rsidRPr="00147BCB">
              <w:rPr>
                <w:rFonts w:ascii="Calibri" w:hAnsi="Calibri" w:cs="Calibri"/>
                <w:b/>
                <w:lang w:val="pl-PL"/>
              </w:rPr>
              <w:t>Gwarancja i serwis</w:t>
            </w:r>
          </w:p>
        </w:tc>
      </w:tr>
      <w:tr w:rsidR="00147BCB" w:rsidRPr="00147BCB" w14:paraId="454705DE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2630A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11E405E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Gwarancja min. 24 miesiące, nie krótsza jednak niż udzielana przez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97FF70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2F2262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  <w:tr w:rsidR="00147BCB" w:rsidRPr="00147BCB" w14:paraId="5ACCBDAE" w14:textId="77777777" w:rsidTr="00147BC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0B8F555" w14:textId="77777777" w:rsidR="00147BCB" w:rsidRPr="00147BCB" w:rsidRDefault="00147BCB" w:rsidP="0062606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2A895FE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Instrukcja obsługi urządzenia w języku polskim oraz w języku angielskim (jeżeli posiada) – dostarczona wraz z urządzeniem w formie papierowej lub elektronicznej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F227D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  <w:r w:rsidRPr="00147BCB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2B00DC" w14:textId="77777777" w:rsidR="00147BCB" w:rsidRPr="00147BCB" w:rsidRDefault="00147BCB" w:rsidP="00626066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0E5D3EB9" w14:textId="77777777" w:rsidR="00206C9A" w:rsidRPr="00E33366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1536DEE1" w14:textId="180A6F92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292D21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gań spowoduje odrzucenie oferty </w:t>
      </w:r>
      <w:r w:rsidR="00292D21">
        <w:rPr>
          <w:rFonts w:ascii="Calibri" w:eastAsia="Times New Roman" w:hAnsi="Calibri" w:cs="Calibri"/>
          <w:b/>
          <w:bdr w:val="none" w:sz="0" w:space="0" w:color="auto" w:frame="1"/>
          <w:lang w:val="pl-PL" w:eastAsia="pl-PL"/>
        </w:rPr>
        <w:t>– nie dotyczy punków w których Zamawiający przewidział odpowiedź „NIE”.</w:t>
      </w:r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300D1" w14:textId="77777777" w:rsidR="00996340" w:rsidRDefault="00996340">
      <w:r>
        <w:separator/>
      </w:r>
    </w:p>
  </w:endnote>
  <w:endnote w:type="continuationSeparator" w:id="0">
    <w:p w14:paraId="463DB806" w14:textId="77777777" w:rsidR="00996340" w:rsidRDefault="009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53F34" w14:textId="77777777" w:rsidR="00996340" w:rsidRDefault="00996340">
      <w:r>
        <w:separator/>
      </w:r>
    </w:p>
  </w:footnote>
  <w:footnote w:type="continuationSeparator" w:id="0">
    <w:p w14:paraId="75EDDE77" w14:textId="77777777" w:rsidR="00996340" w:rsidRDefault="0099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8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16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A1C37"/>
    <w:rsid w:val="000D02D6"/>
    <w:rsid w:val="0014305B"/>
    <w:rsid w:val="00147BCB"/>
    <w:rsid w:val="001521FC"/>
    <w:rsid w:val="00162492"/>
    <w:rsid w:val="00164EA0"/>
    <w:rsid w:val="00167802"/>
    <w:rsid w:val="00174B77"/>
    <w:rsid w:val="00197DA6"/>
    <w:rsid w:val="001A6F43"/>
    <w:rsid w:val="001E210E"/>
    <w:rsid w:val="001F1E22"/>
    <w:rsid w:val="00206C9A"/>
    <w:rsid w:val="00214123"/>
    <w:rsid w:val="00217B14"/>
    <w:rsid w:val="00220A82"/>
    <w:rsid w:val="0025234C"/>
    <w:rsid w:val="00281284"/>
    <w:rsid w:val="00292D21"/>
    <w:rsid w:val="002956EB"/>
    <w:rsid w:val="002B096E"/>
    <w:rsid w:val="002D13DB"/>
    <w:rsid w:val="002F7B89"/>
    <w:rsid w:val="0030012C"/>
    <w:rsid w:val="0030104B"/>
    <w:rsid w:val="00307EF1"/>
    <w:rsid w:val="00310498"/>
    <w:rsid w:val="003248F1"/>
    <w:rsid w:val="00340595"/>
    <w:rsid w:val="003567D7"/>
    <w:rsid w:val="00383479"/>
    <w:rsid w:val="003E464F"/>
    <w:rsid w:val="00406AD3"/>
    <w:rsid w:val="0044363E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26066"/>
    <w:rsid w:val="00634D4F"/>
    <w:rsid w:val="0066288A"/>
    <w:rsid w:val="00662C02"/>
    <w:rsid w:val="00672C46"/>
    <w:rsid w:val="00686903"/>
    <w:rsid w:val="0069307D"/>
    <w:rsid w:val="006A47D6"/>
    <w:rsid w:val="006D3969"/>
    <w:rsid w:val="00736FF3"/>
    <w:rsid w:val="0074492E"/>
    <w:rsid w:val="00746208"/>
    <w:rsid w:val="00750D80"/>
    <w:rsid w:val="0075477C"/>
    <w:rsid w:val="007740DA"/>
    <w:rsid w:val="00795BAF"/>
    <w:rsid w:val="007A31AA"/>
    <w:rsid w:val="007F1136"/>
    <w:rsid w:val="0082509F"/>
    <w:rsid w:val="008267C1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96340"/>
    <w:rsid w:val="009A785C"/>
    <w:rsid w:val="009B15F0"/>
    <w:rsid w:val="009D7141"/>
    <w:rsid w:val="00A07837"/>
    <w:rsid w:val="00AF2CA7"/>
    <w:rsid w:val="00B04BB6"/>
    <w:rsid w:val="00B11621"/>
    <w:rsid w:val="00B26132"/>
    <w:rsid w:val="00B54148"/>
    <w:rsid w:val="00B56DF0"/>
    <w:rsid w:val="00B72635"/>
    <w:rsid w:val="00B753B8"/>
    <w:rsid w:val="00B75A32"/>
    <w:rsid w:val="00C05DE9"/>
    <w:rsid w:val="00C1170B"/>
    <w:rsid w:val="00C76D79"/>
    <w:rsid w:val="00C83C43"/>
    <w:rsid w:val="00CA5EBF"/>
    <w:rsid w:val="00CE0B6D"/>
    <w:rsid w:val="00D257BF"/>
    <w:rsid w:val="00D27F4D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C49E9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  <w:style w:type="paragraph" w:customStyle="1" w:styleId="Zawartotabeli">
    <w:name w:val="Zawartość tabeli"/>
    <w:basedOn w:val="Normalny"/>
    <w:rsid w:val="00147BCB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Lucida Sans Unicode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17</cp:revision>
  <cp:lastPrinted>2025-03-06T12:44:00Z</cp:lastPrinted>
  <dcterms:created xsi:type="dcterms:W3CDTF">2025-10-22T07:18:00Z</dcterms:created>
  <dcterms:modified xsi:type="dcterms:W3CDTF">2026-01-15T12:08:00Z</dcterms:modified>
</cp:coreProperties>
</file>